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310C2" w14:textId="77777777" w:rsidR="002367FE" w:rsidRPr="00306797" w:rsidRDefault="002367FE">
      <w:pPr>
        <w:rPr>
          <w:rFonts w:ascii="Times New Roman" w:eastAsia="標楷體" w:hAnsi="Times New Roman" w:cs="Times New Roman"/>
        </w:rPr>
      </w:pPr>
    </w:p>
    <w:p w14:paraId="0526EE72" w14:textId="77777777" w:rsidR="00306797" w:rsidRDefault="00306797" w:rsidP="00306797">
      <w:pPr>
        <w:jc w:val="center"/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</w:pP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>分析絲瓜的遺傳多樣性並</w:t>
      </w:r>
      <w:r>
        <w:rPr>
          <w:rFonts w:ascii="Times New Roman" w:eastAsia="標楷體" w:hAnsi="Times New Roman" w:cs="Times New Roman" w:hint="eastAsia"/>
          <w:color w:val="0D0D0D"/>
          <w:sz w:val="32"/>
          <w:szCs w:val="32"/>
          <w:shd w:val="clear" w:color="auto" w:fill="FFFFFF"/>
        </w:rPr>
        <w:t>利用</w:t>
      </w: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>單株全基因組關聯研究</w:t>
      </w: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 xml:space="preserve"> (sp-GWAS) </w:t>
      </w:r>
      <w:r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br/>
      </w: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>開發與</w:t>
      </w:r>
      <w:r>
        <w:rPr>
          <w:rFonts w:ascii="Times New Roman" w:eastAsia="標楷體" w:hAnsi="Times New Roman" w:cs="Times New Roman" w:hint="eastAsia"/>
          <w:color w:val="0D0D0D"/>
          <w:sz w:val="32"/>
          <w:szCs w:val="32"/>
          <w:shd w:val="clear" w:color="auto" w:fill="FFFFFF"/>
        </w:rPr>
        <w:t>萎凋</w:t>
      </w: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>病</w:t>
      </w:r>
      <w:r>
        <w:rPr>
          <w:rFonts w:ascii="Times New Roman" w:eastAsia="標楷體" w:hAnsi="Times New Roman" w:cs="Times New Roman" w:hint="eastAsia"/>
          <w:color w:val="0D0D0D"/>
          <w:sz w:val="32"/>
          <w:szCs w:val="32"/>
          <w:shd w:val="clear" w:color="auto" w:fill="FFFFFF"/>
        </w:rPr>
        <w:t>感病</w:t>
      </w: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>相關的</w:t>
      </w: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 xml:space="preserve"> SNP </w:t>
      </w:r>
      <w:r w:rsidRPr="00306797">
        <w:rPr>
          <w:rFonts w:ascii="Times New Roman" w:eastAsia="標楷體" w:hAnsi="Times New Roman" w:cs="Times New Roman"/>
          <w:color w:val="0D0D0D"/>
          <w:sz w:val="32"/>
          <w:szCs w:val="32"/>
          <w:shd w:val="clear" w:color="auto" w:fill="FFFFFF"/>
        </w:rPr>
        <w:t>標記</w:t>
      </w:r>
    </w:p>
    <w:p w14:paraId="41964A94" w14:textId="77777777" w:rsidR="00306797" w:rsidRPr="00306797" w:rsidRDefault="00306797" w:rsidP="0030679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DB7EE53" w14:textId="77777777" w:rsidR="00306797" w:rsidRPr="009B116B" w:rsidRDefault="00306797" w:rsidP="009B116B">
      <w:pPr>
        <w:pStyle w:val="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beforeAutospacing="0" w:after="300" w:afterAutospacing="0"/>
        <w:rPr>
          <w:rFonts w:eastAsia="標楷體"/>
          <w:color w:val="0D0D0D"/>
          <w:lang w:val="en-US"/>
        </w:rPr>
      </w:pPr>
      <w:r>
        <w:rPr>
          <w:rFonts w:eastAsia="標楷體" w:hint="eastAsia"/>
          <w:color w:val="0D0D0D"/>
        </w:rPr>
        <w:t xml:space="preserve"> </w:t>
      </w:r>
      <w:r>
        <w:rPr>
          <w:rFonts w:eastAsia="標楷體"/>
          <w:color w:val="0D0D0D"/>
        </w:rPr>
        <w:t xml:space="preserve">       </w:t>
      </w:r>
      <w:r w:rsidRPr="00306797">
        <w:rPr>
          <w:rFonts w:eastAsia="標楷體"/>
          <w:color w:val="0D0D0D"/>
        </w:rPr>
        <w:t>絲瓜（</w:t>
      </w:r>
      <w:r w:rsidRPr="00306797">
        <w:rPr>
          <w:rFonts w:eastAsia="標楷體"/>
          <w:color w:val="0D0D0D"/>
        </w:rPr>
        <w:t>Luffa spp.</w:t>
      </w:r>
      <w:r w:rsidRPr="00306797">
        <w:rPr>
          <w:rFonts w:eastAsia="標楷體"/>
          <w:color w:val="0D0D0D"/>
        </w:rPr>
        <w:t>）是葫蘆科的重要經濟作物，主要分布在亞熱帶和熱帶地區，不僅作為蔬菜食用，還具有藥用特性，其纖維在生物技術和建築等領域有廣泛應用。然而，絲瓜</w:t>
      </w:r>
      <w:r>
        <w:rPr>
          <w:rFonts w:eastAsia="標楷體" w:hint="eastAsia"/>
          <w:color w:val="0D0D0D"/>
        </w:rPr>
        <w:t>萎凋</w:t>
      </w:r>
      <w:r w:rsidRPr="00306797">
        <w:rPr>
          <w:rFonts w:eastAsia="標楷體"/>
          <w:color w:val="0D0D0D"/>
        </w:rPr>
        <w:t>病對其生產造成嚴重威脅，現有控制方法在成本效益和環境影響方面均不理想。因此，迫切需要開發抗</w:t>
      </w:r>
      <w:r>
        <w:rPr>
          <w:rFonts w:eastAsia="標楷體" w:hint="eastAsia"/>
          <w:color w:val="0D0D0D"/>
        </w:rPr>
        <w:t>萎凋</w:t>
      </w:r>
      <w:r w:rsidRPr="00306797">
        <w:rPr>
          <w:rFonts w:eastAsia="標楷體"/>
          <w:color w:val="0D0D0D"/>
        </w:rPr>
        <w:t>病的絲瓜品種。單株全基因組關聯分析（</w:t>
      </w:r>
      <w:r w:rsidRPr="00306797">
        <w:rPr>
          <w:rFonts w:eastAsia="標楷體"/>
          <w:color w:val="0D0D0D"/>
        </w:rPr>
        <w:t>sp-GWAS</w:t>
      </w:r>
      <w:r w:rsidRPr="00306797">
        <w:rPr>
          <w:rFonts w:eastAsia="標楷體"/>
          <w:color w:val="0D0D0D"/>
        </w:rPr>
        <w:t>）</w:t>
      </w:r>
      <w:r>
        <w:rPr>
          <w:rFonts w:eastAsia="標楷體" w:hint="eastAsia"/>
          <w:color w:val="0D0D0D"/>
        </w:rPr>
        <w:t>已知</w:t>
      </w:r>
      <w:r w:rsidRPr="00306797">
        <w:rPr>
          <w:rFonts w:eastAsia="標楷體"/>
          <w:color w:val="0D0D0D"/>
        </w:rPr>
        <w:t>是一種快速有效識別與目標性狀相關的數量性狀基因座（</w:t>
      </w:r>
      <w:r w:rsidRPr="00306797">
        <w:rPr>
          <w:rFonts w:eastAsia="標楷體"/>
          <w:color w:val="0D0D0D"/>
        </w:rPr>
        <w:t>QTLs</w:t>
      </w:r>
      <w:r w:rsidRPr="00306797">
        <w:rPr>
          <w:rFonts w:eastAsia="標楷體"/>
          <w:color w:val="0D0D0D"/>
        </w:rPr>
        <w:t>）及其密切連鎖的分子標誌的工具。</w:t>
      </w:r>
      <w:r>
        <w:rPr>
          <w:rFonts w:eastAsia="標楷體"/>
          <w:color w:val="0D0D0D"/>
        </w:rPr>
        <w:br/>
      </w:r>
      <w:r>
        <w:rPr>
          <w:rFonts w:eastAsia="標楷體" w:hint="eastAsia"/>
          <w:color w:val="0D0D0D"/>
        </w:rPr>
        <w:t xml:space="preserve"> </w:t>
      </w:r>
      <w:r>
        <w:rPr>
          <w:rFonts w:eastAsia="標楷體"/>
          <w:color w:val="0D0D0D"/>
        </w:rPr>
        <w:t xml:space="preserve">       </w:t>
      </w:r>
      <w:r w:rsidRPr="00306797">
        <w:rPr>
          <w:rFonts w:eastAsia="標楷體"/>
          <w:color w:val="0D0D0D"/>
        </w:rPr>
        <w:t>本研究收集了來自</w:t>
      </w:r>
      <w:r w:rsidRPr="00306797">
        <w:rPr>
          <w:rFonts w:eastAsia="標楷體"/>
          <w:color w:val="0D0D0D"/>
        </w:rPr>
        <w:t>73</w:t>
      </w:r>
      <w:r w:rsidRPr="00306797">
        <w:rPr>
          <w:rFonts w:eastAsia="標楷體"/>
          <w:color w:val="0D0D0D"/>
        </w:rPr>
        <w:t>個絲瓜品系的</w:t>
      </w:r>
      <w:r w:rsidRPr="00306797">
        <w:rPr>
          <w:rFonts w:eastAsia="標楷體"/>
          <w:color w:val="0D0D0D"/>
        </w:rPr>
        <w:t>97</w:t>
      </w:r>
      <w:r w:rsidRPr="00306797">
        <w:rPr>
          <w:rFonts w:eastAsia="標楷體"/>
          <w:color w:val="0D0D0D"/>
        </w:rPr>
        <w:t>個個體，通過</w:t>
      </w:r>
      <w:r w:rsidRPr="00306797">
        <w:rPr>
          <w:rFonts w:eastAsia="標楷體"/>
          <w:color w:val="0D0D0D"/>
        </w:rPr>
        <w:t>sp-GWAS</w:t>
      </w:r>
      <w:r w:rsidRPr="00306797">
        <w:rPr>
          <w:rFonts w:eastAsia="標楷體"/>
          <w:color w:val="0D0D0D"/>
        </w:rPr>
        <w:t>研究絲瓜抗</w:t>
      </w:r>
      <w:r w:rsidR="009B116B">
        <w:rPr>
          <w:rFonts w:eastAsia="標楷體"/>
          <w:color w:val="0D0D0D"/>
        </w:rPr>
        <w:t>委凋</w:t>
      </w:r>
      <w:r w:rsidRPr="00306797">
        <w:rPr>
          <w:rFonts w:eastAsia="標楷體"/>
          <w:color w:val="0D0D0D"/>
        </w:rPr>
        <w:t>病能力</w:t>
      </w:r>
      <w:r>
        <w:rPr>
          <w:rFonts w:eastAsia="標楷體" w:hint="eastAsia"/>
          <w:color w:val="0D0D0D"/>
        </w:rPr>
        <w:t>，</w:t>
      </w:r>
      <w:r w:rsidRPr="00306797">
        <w:rPr>
          <w:rFonts w:eastAsia="標楷體"/>
          <w:color w:val="0D0D0D"/>
        </w:rPr>
        <w:t>利用雙重酶切限制位點相關</w:t>
      </w:r>
      <w:r w:rsidRPr="00306797">
        <w:rPr>
          <w:rFonts w:eastAsia="標楷體"/>
          <w:color w:val="0D0D0D"/>
        </w:rPr>
        <w:t>DNA</w:t>
      </w:r>
      <w:r w:rsidRPr="00306797">
        <w:rPr>
          <w:rFonts w:eastAsia="標楷體"/>
          <w:color w:val="0D0D0D"/>
        </w:rPr>
        <w:t>（</w:t>
      </w:r>
      <w:r w:rsidRPr="00306797">
        <w:rPr>
          <w:rFonts w:eastAsia="標楷體"/>
          <w:color w:val="0D0D0D"/>
        </w:rPr>
        <w:t>ddRAD</w:t>
      </w:r>
      <w:r w:rsidRPr="00306797">
        <w:rPr>
          <w:rFonts w:eastAsia="標楷體"/>
          <w:color w:val="0D0D0D"/>
        </w:rPr>
        <w:t>）方法</w:t>
      </w:r>
      <w:r>
        <w:rPr>
          <w:rFonts w:eastAsia="標楷體" w:hint="eastAsia"/>
          <w:color w:val="0D0D0D"/>
        </w:rPr>
        <w:t>建庫</w:t>
      </w:r>
      <w:r w:rsidRPr="00306797">
        <w:rPr>
          <w:rFonts w:eastAsia="標楷體"/>
          <w:color w:val="0D0D0D"/>
        </w:rPr>
        <w:t>，</w:t>
      </w:r>
      <w:r>
        <w:rPr>
          <w:rFonts w:eastAsia="標楷體" w:hint="eastAsia"/>
          <w:color w:val="0D0D0D"/>
          <w:lang w:val="en-US"/>
        </w:rPr>
        <w:t>在</w:t>
      </w:r>
      <w:r>
        <w:rPr>
          <w:rFonts w:eastAsia="標楷體"/>
          <w:color w:val="0D0D0D"/>
          <w:lang w:val="en-US"/>
        </w:rPr>
        <w:t>97</w:t>
      </w:r>
      <w:r>
        <w:rPr>
          <w:rFonts w:eastAsia="標楷體" w:hint="eastAsia"/>
          <w:color w:val="0D0D0D"/>
          <w:lang w:val="en-US"/>
        </w:rPr>
        <w:t>個個體中</w:t>
      </w:r>
      <w:r w:rsidRPr="00306797">
        <w:rPr>
          <w:rFonts w:eastAsia="標楷體" w:hint="eastAsia"/>
          <w:color w:val="0D0D0D"/>
        </w:rPr>
        <w:t>共</w:t>
      </w:r>
      <w:r>
        <w:rPr>
          <w:rFonts w:eastAsia="標楷體" w:hint="eastAsia"/>
          <w:color w:val="0D0D0D"/>
        </w:rPr>
        <w:t>找</w:t>
      </w:r>
      <w:r w:rsidRPr="00306797">
        <w:rPr>
          <w:rFonts w:eastAsia="標楷體"/>
          <w:color w:val="0D0D0D"/>
        </w:rPr>
        <w:t>出</w:t>
      </w:r>
      <w:r w:rsidRPr="00306797">
        <w:rPr>
          <w:rFonts w:eastAsia="標楷體"/>
          <w:color w:val="0D0D0D"/>
        </w:rPr>
        <w:t>8</w:t>
      </w:r>
      <w:r>
        <w:rPr>
          <w:rFonts w:eastAsia="標楷體"/>
          <w:color w:val="0D0D0D"/>
          <w:lang w:val="en-US"/>
        </w:rPr>
        <w:t>,</w:t>
      </w:r>
      <w:r w:rsidRPr="00306797">
        <w:rPr>
          <w:rFonts w:eastAsia="標楷體"/>
          <w:color w:val="0D0D0D"/>
        </w:rPr>
        <w:t>919</w:t>
      </w:r>
      <w:r w:rsidRPr="00306797">
        <w:rPr>
          <w:rFonts w:eastAsia="標楷體"/>
          <w:color w:val="0D0D0D"/>
        </w:rPr>
        <w:t>個高質量的單核苷酸多態性（</w:t>
      </w:r>
      <w:r w:rsidRPr="00306797">
        <w:rPr>
          <w:rFonts w:eastAsia="標楷體"/>
          <w:color w:val="0D0D0D"/>
        </w:rPr>
        <w:t>SNPs</w:t>
      </w:r>
      <w:r w:rsidRPr="00306797">
        <w:rPr>
          <w:rFonts w:eastAsia="標楷體"/>
          <w:color w:val="0D0D0D"/>
        </w:rPr>
        <w:t>）。分析顯示，兩個主要絲瓜</w:t>
      </w:r>
      <w:r>
        <w:rPr>
          <w:rFonts w:eastAsia="標楷體" w:hint="eastAsia"/>
          <w:color w:val="0D0D0D"/>
        </w:rPr>
        <w:t>種</w:t>
      </w:r>
      <w:r w:rsidRPr="00306797">
        <w:rPr>
          <w:rFonts w:eastAsia="標楷體"/>
          <w:color w:val="0D0D0D"/>
        </w:rPr>
        <w:t>的品系均具有抗</w:t>
      </w:r>
      <w:r w:rsidR="009B116B">
        <w:rPr>
          <w:rFonts w:eastAsia="標楷體"/>
          <w:color w:val="0D0D0D"/>
        </w:rPr>
        <w:t>委凋</w:t>
      </w:r>
      <w:r w:rsidRPr="00306797">
        <w:rPr>
          <w:rFonts w:eastAsia="標楷體"/>
          <w:color w:val="0D0D0D"/>
        </w:rPr>
        <w:t>病潛力，</w:t>
      </w:r>
      <w:r>
        <w:rPr>
          <w:rFonts w:eastAsia="標楷體" w:hint="eastAsia"/>
          <w:color w:val="0D0D0D"/>
        </w:rPr>
        <w:t>並找</w:t>
      </w:r>
      <w:r w:rsidRPr="00306797">
        <w:rPr>
          <w:rFonts w:eastAsia="標楷體" w:hint="eastAsia"/>
          <w:color w:val="0D0D0D"/>
        </w:rPr>
        <w:t>出</w:t>
      </w:r>
      <w:r w:rsidRPr="00306797">
        <w:rPr>
          <w:rFonts w:eastAsia="標楷體"/>
          <w:color w:val="0D0D0D"/>
        </w:rPr>
        <w:t>六個與</w:t>
      </w:r>
      <w:r w:rsidR="009B116B">
        <w:rPr>
          <w:rFonts w:eastAsia="標楷體" w:hint="eastAsia"/>
          <w:color w:val="0D0D0D"/>
        </w:rPr>
        <w:t>絲瓜不同性狀</w:t>
      </w:r>
      <w:r w:rsidR="009B116B" w:rsidRPr="00306797">
        <w:rPr>
          <w:rFonts w:eastAsia="標楷體"/>
          <w:color w:val="0D0D0D"/>
        </w:rPr>
        <w:t>相關的</w:t>
      </w:r>
      <w:r w:rsidR="009B116B" w:rsidRPr="00306797">
        <w:rPr>
          <w:rFonts w:eastAsia="標楷體"/>
          <w:color w:val="0D0D0D"/>
        </w:rPr>
        <w:t>QTLs</w:t>
      </w:r>
      <w:r w:rsidR="009B116B">
        <w:rPr>
          <w:rFonts w:eastAsia="標楷體" w:hint="eastAsia"/>
          <w:color w:val="0D0D0D"/>
        </w:rPr>
        <w:t>，其中</w:t>
      </w:r>
      <w:r w:rsidR="009B116B">
        <w:rPr>
          <w:rFonts w:eastAsia="標楷體" w:hint="eastAsia"/>
          <w:color w:val="0D0D0D"/>
          <w:lang w:val="en-US"/>
        </w:rPr>
        <w:t>於</w:t>
      </w:r>
      <w:r w:rsidR="009B116B" w:rsidRPr="00306797">
        <w:rPr>
          <w:rFonts w:eastAsia="標楷體"/>
          <w:color w:val="0D0D0D"/>
        </w:rPr>
        <w:t>第二染色體上發現一個</w:t>
      </w:r>
      <w:r w:rsidR="009B116B">
        <w:rPr>
          <w:rFonts w:eastAsia="標楷體" w:hint="eastAsia"/>
          <w:color w:val="0D0D0D"/>
        </w:rPr>
        <w:t>與</w:t>
      </w:r>
      <w:r>
        <w:rPr>
          <w:rFonts w:eastAsia="標楷體" w:hint="eastAsia"/>
          <w:color w:val="0D0D0D"/>
        </w:rPr>
        <w:t>委凋病之</w:t>
      </w:r>
      <w:r w:rsidRPr="00306797">
        <w:rPr>
          <w:rFonts w:eastAsia="標楷體"/>
          <w:color w:val="0D0D0D"/>
        </w:rPr>
        <w:t>疾病進程曲線下面積（</w:t>
      </w:r>
      <w:r w:rsidRPr="00306797">
        <w:rPr>
          <w:rFonts w:eastAsia="標楷體"/>
          <w:color w:val="0D0D0D"/>
        </w:rPr>
        <w:t>AUDPC</w:t>
      </w:r>
      <w:r w:rsidRPr="00306797">
        <w:rPr>
          <w:rFonts w:eastAsia="標楷體"/>
          <w:color w:val="0D0D0D"/>
        </w:rPr>
        <w:t>）相關的</w:t>
      </w:r>
      <w:r w:rsidRPr="00306797">
        <w:rPr>
          <w:rFonts w:eastAsia="標楷體"/>
          <w:color w:val="0D0D0D"/>
        </w:rPr>
        <w:t>QTL</w:t>
      </w:r>
      <w:r w:rsidR="009B116B">
        <w:rPr>
          <w:rFonts w:eastAsia="標楷體" w:hint="eastAsia"/>
          <w:color w:val="0D0D0D"/>
        </w:rPr>
        <w:t>。藉由</w:t>
      </w:r>
      <w:r w:rsidRPr="00306797">
        <w:rPr>
          <w:rFonts w:eastAsia="標楷體"/>
          <w:color w:val="0D0D0D"/>
        </w:rPr>
        <w:t>連鎖不平衡區域</w:t>
      </w:r>
      <w:r w:rsidR="009B116B">
        <w:rPr>
          <w:rFonts w:eastAsia="標楷體" w:hint="eastAsia"/>
          <w:color w:val="0D0D0D"/>
        </w:rPr>
        <w:t>的探勘</w:t>
      </w:r>
      <w:r w:rsidRPr="00306797">
        <w:rPr>
          <w:rFonts w:eastAsia="標楷體"/>
          <w:color w:val="0D0D0D"/>
        </w:rPr>
        <w:t>，發現一個與甜瓜抗病相關的過氧化物酶</w:t>
      </w:r>
      <w:r w:rsidRPr="00306797">
        <w:rPr>
          <w:rFonts w:eastAsia="標楷體"/>
          <w:color w:val="0D0D0D"/>
        </w:rPr>
        <w:t>40</w:t>
      </w:r>
      <w:r w:rsidR="009B116B">
        <w:rPr>
          <w:rFonts w:eastAsia="標楷體" w:hint="eastAsia"/>
          <w:color w:val="0D0D0D"/>
        </w:rPr>
        <w:t>的</w:t>
      </w:r>
      <w:r w:rsidRPr="00306797">
        <w:rPr>
          <w:rFonts w:eastAsia="標楷體"/>
          <w:color w:val="0D0D0D"/>
        </w:rPr>
        <w:t>同源候選基因（</w:t>
      </w:r>
      <w:r w:rsidRPr="00306797">
        <w:rPr>
          <w:rFonts w:eastAsia="標楷體"/>
          <w:color w:val="0D0D0D"/>
        </w:rPr>
        <w:t>LOC111009722</w:t>
      </w:r>
      <w:r w:rsidRPr="00306797">
        <w:rPr>
          <w:rFonts w:eastAsia="標楷體"/>
          <w:color w:val="0D0D0D"/>
        </w:rPr>
        <w:t>）。為驗證</w:t>
      </w:r>
      <w:r w:rsidRPr="00306797">
        <w:rPr>
          <w:rFonts w:eastAsia="標楷體"/>
          <w:color w:val="0D0D0D"/>
        </w:rPr>
        <w:t>sp-GWAS</w:t>
      </w:r>
      <w:r w:rsidRPr="00306797">
        <w:rPr>
          <w:rFonts w:eastAsia="標楷體"/>
          <w:color w:val="0D0D0D"/>
        </w:rPr>
        <w:t>中抗病標誌的應用性，</w:t>
      </w:r>
      <w:r w:rsidR="009B116B">
        <w:rPr>
          <w:rFonts w:eastAsia="標楷體" w:hint="eastAsia"/>
          <w:color w:val="0D0D0D"/>
        </w:rPr>
        <w:t>試驗另外選取</w:t>
      </w:r>
      <w:r w:rsidRPr="00306797">
        <w:rPr>
          <w:rFonts w:eastAsia="標楷體"/>
          <w:color w:val="0D0D0D"/>
        </w:rPr>
        <w:t>21</w:t>
      </w:r>
      <w:r w:rsidRPr="00306797">
        <w:rPr>
          <w:rFonts w:eastAsia="標楷體"/>
          <w:color w:val="0D0D0D"/>
        </w:rPr>
        <w:t>個絲瓜個體進行測試，結果顯示檢測</w:t>
      </w:r>
      <w:r w:rsidRPr="009B116B">
        <w:rPr>
          <w:rFonts w:eastAsia="標楷體"/>
          <w:i/>
          <w:iCs/>
          <w:color w:val="0D0D0D"/>
        </w:rPr>
        <w:t>L. aegyptiaca</w:t>
      </w:r>
      <w:r w:rsidRPr="00306797">
        <w:rPr>
          <w:rFonts w:eastAsia="標楷體"/>
          <w:color w:val="0D0D0D"/>
        </w:rPr>
        <w:t xml:space="preserve"> Mill.</w:t>
      </w:r>
      <w:r w:rsidRPr="00306797">
        <w:rPr>
          <w:rFonts w:eastAsia="標楷體"/>
          <w:color w:val="0D0D0D"/>
        </w:rPr>
        <w:t>品系的準確率達到</w:t>
      </w:r>
      <w:r w:rsidRPr="00306797">
        <w:rPr>
          <w:rFonts w:eastAsia="標楷體"/>
          <w:color w:val="0D0D0D"/>
        </w:rPr>
        <w:t>93.75%</w:t>
      </w:r>
      <w:r w:rsidRPr="00306797">
        <w:rPr>
          <w:rFonts w:eastAsia="標楷體"/>
          <w:color w:val="0D0D0D"/>
        </w:rPr>
        <w:t>。</w:t>
      </w:r>
      <w:r w:rsidR="009B116B">
        <w:rPr>
          <w:rFonts w:eastAsia="標楷體"/>
          <w:color w:val="0D0D0D"/>
          <w:lang w:val="en-US"/>
        </w:rPr>
        <w:br/>
        <w:t xml:space="preserve">        </w:t>
      </w:r>
      <w:r w:rsidRPr="00306797">
        <w:rPr>
          <w:rFonts w:eastAsia="標楷體"/>
          <w:color w:val="0D0D0D"/>
        </w:rPr>
        <w:t>總之，本研究結果指出了可能有助於絲瓜抗</w:t>
      </w:r>
      <w:r w:rsidR="009B116B">
        <w:rPr>
          <w:rFonts w:eastAsia="標楷體"/>
          <w:color w:val="0D0D0D"/>
        </w:rPr>
        <w:t>委凋</w:t>
      </w:r>
      <w:r w:rsidRPr="00306797">
        <w:rPr>
          <w:rFonts w:eastAsia="標楷體"/>
          <w:color w:val="0D0D0D"/>
        </w:rPr>
        <w:t>病的基因組位置，這些易感性相關的</w:t>
      </w:r>
      <w:r w:rsidRPr="00306797">
        <w:rPr>
          <w:rFonts w:eastAsia="標楷體"/>
          <w:color w:val="0D0D0D"/>
        </w:rPr>
        <w:t>SNP</w:t>
      </w:r>
      <w:r w:rsidRPr="00306797">
        <w:rPr>
          <w:rFonts w:eastAsia="標楷體"/>
          <w:color w:val="0D0D0D"/>
        </w:rPr>
        <w:t>標誌可在未來的絲瓜抗</w:t>
      </w:r>
      <w:r w:rsidR="009B116B">
        <w:rPr>
          <w:rFonts w:eastAsia="標楷體" w:hint="eastAsia"/>
          <w:color w:val="0D0D0D"/>
        </w:rPr>
        <w:t>萎凋</w:t>
      </w:r>
      <w:r w:rsidRPr="00306797">
        <w:rPr>
          <w:rFonts w:eastAsia="標楷體"/>
          <w:color w:val="0D0D0D"/>
        </w:rPr>
        <w:t>病育種計劃中用於開發抗病品種。</w:t>
      </w:r>
    </w:p>
    <w:p w14:paraId="543EC8D5" w14:textId="77777777" w:rsidR="00306797" w:rsidRPr="00306797" w:rsidRDefault="00306797">
      <w:pPr>
        <w:rPr>
          <w:rFonts w:ascii="Times New Roman" w:eastAsia="標楷體" w:hAnsi="Times New Roman" w:cs="Times New Roman"/>
          <w:noProof/>
        </w:rPr>
      </w:pPr>
      <w:r w:rsidRPr="00306797">
        <w:rPr>
          <w:rFonts w:ascii="Times New Roman" w:eastAsia="標楷體" w:hAnsi="Times New Roman" w:cs="Times New Roman"/>
          <w:noProof/>
        </w:rPr>
        <w:drawing>
          <wp:inline distT="0" distB="0" distL="0" distR="0" wp14:anchorId="179FBF50" wp14:editId="667B23CC">
            <wp:extent cx="2840939" cy="2484304"/>
            <wp:effectExtent l="0" t="0" r="4445" b="5080"/>
            <wp:docPr id="166138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86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3350" cy="24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797">
        <w:rPr>
          <w:rFonts w:ascii="Times New Roman" w:eastAsia="標楷體" w:hAnsi="Times New Roman" w:cs="Times New Roman"/>
          <w:noProof/>
        </w:rPr>
        <w:t xml:space="preserve"> </w:t>
      </w:r>
      <w:r w:rsidRPr="00306797">
        <w:rPr>
          <w:rFonts w:ascii="Times New Roman" w:eastAsia="標楷體" w:hAnsi="Times New Roman" w:cs="Times New Roman"/>
          <w:noProof/>
        </w:rPr>
        <w:drawing>
          <wp:inline distT="0" distB="0" distL="0" distR="0" wp14:anchorId="1D192ABE" wp14:editId="6989887F">
            <wp:extent cx="2952520" cy="2030173"/>
            <wp:effectExtent l="0" t="0" r="0" b="1905"/>
            <wp:docPr id="1992068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689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7968" cy="208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75B0" w14:textId="77777777" w:rsidR="00306797" w:rsidRPr="00306797" w:rsidRDefault="00306797">
      <w:pPr>
        <w:rPr>
          <w:rFonts w:ascii="Times New Roman" w:eastAsia="標楷體" w:hAnsi="Times New Roman" w:cs="Times New Roman"/>
          <w:noProof/>
          <w:sz w:val="20"/>
          <w:szCs w:val="20"/>
          <w:lang w:val="en-US"/>
        </w:rPr>
      </w:pPr>
      <w:r w:rsidRPr="00306797"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 xml:space="preserve">Fig. 1 </w:t>
      </w:r>
      <w:r w:rsidRPr="00306797"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>絲瓜性狀全基因組性狀相關分析之曼哈頓圖</w:t>
      </w:r>
      <w:r w:rsidRPr="00306797"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 xml:space="preserve">     F2. </w:t>
      </w:r>
      <w:r w:rsidRPr="00306797"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>性狀相關</w:t>
      </w:r>
      <w:r w:rsidRPr="00306797"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>SNP</w:t>
      </w:r>
      <w:r w:rsidRPr="00306797"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>對目標性狀提供的差異性</w:t>
      </w:r>
    </w:p>
    <w:p w14:paraId="57CEA067" w14:textId="77777777" w:rsidR="00306797" w:rsidRPr="00306797" w:rsidRDefault="00306797">
      <w:pPr>
        <w:rPr>
          <w:rFonts w:ascii="Times New Roman" w:eastAsia="標楷體" w:hAnsi="Times New Roman" w:cs="Times New Roman"/>
          <w:noProof/>
          <w:sz w:val="20"/>
          <w:szCs w:val="20"/>
          <w:lang w:val="en-US"/>
        </w:rPr>
      </w:pPr>
    </w:p>
    <w:p w14:paraId="2CEC637D" w14:textId="77777777" w:rsidR="00306797" w:rsidRPr="00306797" w:rsidRDefault="00306797">
      <w:pPr>
        <w:rPr>
          <w:rFonts w:ascii="Times New Roman" w:eastAsia="標楷體" w:hAnsi="Times New Roman" w:cs="Times New Roman"/>
          <w:noProof/>
          <w:sz w:val="20"/>
          <w:szCs w:val="20"/>
          <w:lang w:val="en-US"/>
        </w:rPr>
      </w:pPr>
    </w:p>
    <w:p w14:paraId="03B1849C" w14:textId="77777777" w:rsidR="00306797" w:rsidRDefault="001F686D">
      <w:pPr>
        <w:rPr>
          <w:rFonts w:ascii="Times New Roman" w:eastAsia="標楷體" w:hAnsi="Times New Roman" w:cs="Times New Roman"/>
          <w:noProof/>
          <w:sz w:val="20"/>
          <w:szCs w:val="20"/>
          <w:lang w:val="en-US"/>
        </w:rPr>
      </w:pPr>
      <w:r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 xml:space="preserve">Published Date: </w:t>
      </w:r>
      <w:r>
        <w:rPr>
          <w:rFonts w:ascii="Times New Roman" w:eastAsia="標楷體" w:hAnsi="Times New Roman" w:cs="Times New Roman" w:hint="eastAsia"/>
          <w:noProof/>
          <w:sz w:val="20"/>
          <w:szCs w:val="20"/>
          <w:lang w:val="en-US"/>
        </w:rPr>
        <w:t>2</w:t>
      </w:r>
      <w:r>
        <w:rPr>
          <w:rFonts w:ascii="Times New Roman" w:eastAsia="標楷體" w:hAnsi="Times New Roman" w:cs="Times New Roman"/>
          <w:noProof/>
          <w:sz w:val="20"/>
          <w:szCs w:val="20"/>
          <w:lang w:val="en-US"/>
        </w:rPr>
        <w:t>2/April/2024</w:t>
      </w:r>
    </w:p>
    <w:p w14:paraId="4C39121D" w14:textId="77777777" w:rsidR="001F686D" w:rsidRPr="00306797" w:rsidRDefault="001F686D">
      <w:pPr>
        <w:rPr>
          <w:rFonts w:ascii="Times New Roman" w:eastAsia="標楷體" w:hAnsi="Times New Roman" w:cs="Times New Roman"/>
          <w:noProof/>
          <w:sz w:val="20"/>
          <w:szCs w:val="20"/>
          <w:lang w:val="en-US"/>
        </w:rPr>
      </w:pPr>
    </w:p>
    <w:p w14:paraId="4478BA47" w14:textId="77777777" w:rsidR="00306797" w:rsidRPr="00306797" w:rsidRDefault="00306797">
      <w:pPr>
        <w:rPr>
          <w:rFonts w:ascii="Times New Roman" w:eastAsia="標楷體" w:hAnsi="Times New Roman" w:cs="Times New Roman"/>
          <w:color w:val="222222"/>
          <w:sz w:val="20"/>
          <w:szCs w:val="20"/>
          <w:shd w:val="clear" w:color="auto" w:fill="FFFFFF"/>
          <w:lang w:val="en-US"/>
        </w:rPr>
      </w:pPr>
      <w:r w:rsidRPr="00306797">
        <w:rPr>
          <w:rFonts w:ascii="Times New Roman" w:eastAsia="標楷體" w:hAnsi="Times New Roman" w:cs="Times New Roman"/>
          <w:color w:val="222222"/>
          <w:sz w:val="20"/>
          <w:szCs w:val="20"/>
          <w:shd w:val="clear" w:color="auto" w:fill="FFFFFF"/>
          <w:lang w:val="en-US"/>
        </w:rPr>
        <w:t>文獻來源：</w:t>
      </w:r>
    </w:p>
    <w:p w14:paraId="668F042A" w14:textId="77777777" w:rsidR="00306797" w:rsidRPr="00306797" w:rsidRDefault="00306797">
      <w:pPr>
        <w:rPr>
          <w:rFonts w:ascii="Times New Roman" w:eastAsia="標楷體" w:hAnsi="Times New Roman" w:cs="Times New Roman"/>
          <w:sz w:val="20"/>
          <w:szCs w:val="20"/>
          <w:lang w:val="en-US"/>
        </w:rPr>
      </w:pPr>
      <w:r w:rsidRPr="00306797">
        <w:rPr>
          <w:rFonts w:ascii="Times New Roman" w:eastAsia="標楷體" w:hAnsi="Times New Roman" w:cs="Times New Roman"/>
          <w:color w:val="222222"/>
          <w:sz w:val="20"/>
          <w:szCs w:val="20"/>
          <w:shd w:val="clear" w:color="auto" w:fill="FFFFFF"/>
        </w:rPr>
        <w:t>Li, Yun-Da, Yu-Chi Liu, Yu-Xuan Jiang, Ahmed Namisy, Wen-Hsin Chung, Ying-Hsuan Sun, and Shu-Yun Chen. "Analyzing genetic diversity in luffa and developing a Fusarium wilt-susceptible linked SNP marker through a single plant genome-wide association (sp-GWAS) study." </w:t>
      </w:r>
      <w:r w:rsidRPr="00306797">
        <w:rPr>
          <w:rFonts w:ascii="Times New Roman" w:eastAsia="標楷體" w:hAnsi="Times New Roman" w:cs="Times New Roman"/>
          <w:i/>
          <w:iCs/>
          <w:color w:val="222222"/>
          <w:sz w:val="20"/>
          <w:szCs w:val="20"/>
          <w:shd w:val="clear" w:color="auto" w:fill="FFFFFF"/>
        </w:rPr>
        <w:t>BMC Plant Biology</w:t>
      </w:r>
      <w:r w:rsidRPr="00306797">
        <w:rPr>
          <w:rFonts w:ascii="Times New Roman" w:eastAsia="標楷體" w:hAnsi="Times New Roman" w:cs="Times New Roman"/>
          <w:color w:val="222222"/>
          <w:sz w:val="20"/>
          <w:szCs w:val="20"/>
          <w:shd w:val="clear" w:color="auto" w:fill="FFFFFF"/>
        </w:rPr>
        <w:t> 24, no. 1 (2024): 307.</w:t>
      </w:r>
    </w:p>
    <w:sectPr w:rsidR="00306797" w:rsidRPr="003067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algun Gothic Semilight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797"/>
    <w:rsid w:val="000270E8"/>
    <w:rsid w:val="0004054E"/>
    <w:rsid w:val="000D3252"/>
    <w:rsid w:val="001068B1"/>
    <w:rsid w:val="0016779F"/>
    <w:rsid w:val="001F686D"/>
    <w:rsid w:val="00235EF9"/>
    <w:rsid w:val="00236358"/>
    <w:rsid w:val="002367FE"/>
    <w:rsid w:val="002F6A4F"/>
    <w:rsid w:val="00306797"/>
    <w:rsid w:val="00332A33"/>
    <w:rsid w:val="003771C8"/>
    <w:rsid w:val="003808FC"/>
    <w:rsid w:val="00456012"/>
    <w:rsid w:val="004E10C7"/>
    <w:rsid w:val="00576621"/>
    <w:rsid w:val="006E1890"/>
    <w:rsid w:val="00714014"/>
    <w:rsid w:val="00723427"/>
    <w:rsid w:val="007654E4"/>
    <w:rsid w:val="008509EF"/>
    <w:rsid w:val="00862FDA"/>
    <w:rsid w:val="008A730E"/>
    <w:rsid w:val="008C6C58"/>
    <w:rsid w:val="008D1838"/>
    <w:rsid w:val="00911914"/>
    <w:rsid w:val="009B116B"/>
    <w:rsid w:val="00A50CCC"/>
    <w:rsid w:val="00A94C3F"/>
    <w:rsid w:val="00AC2AA4"/>
    <w:rsid w:val="00B824B1"/>
    <w:rsid w:val="00B8580C"/>
    <w:rsid w:val="00BC4D11"/>
    <w:rsid w:val="00C32D28"/>
    <w:rsid w:val="00C96FF3"/>
    <w:rsid w:val="00D178F8"/>
    <w:rsid w:val="00E677B0"/>
    <w:rsid w:val="00FB0520"/>
    <w:rsid w:val="00FC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25770"/>
  <w15:chartTrackingRefBased/>
  <w15:docId w15:val="{E76F5C01-6B66-EB40-9E57-3F236A4D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067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6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鄭舒允</dc:creator>
  <cp:keywords/>
  <dc:description/>
  <cp:lastModifiedBy>user</cp:lastModifiedBy>
  <cp:revision>2</cp:revision>
  <dcterms:created xsi:type="dcterms:W3CDTF">2024-05-22T08:44:00Z</dcterms:created>
  <dcterms:modified xsi:type="dcterms:W3CDTF">2024-05-22T08:44:00Z</dcterms:modified>
</cp:coreProperties>
</file>